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5a811a47dfde49a6"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15251</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BANA JOSIPA JELAČIĆA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2.303.603,99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2.599.390,33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2.181.619,82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2.633.354,56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33.964,23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80.121,55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69.857,86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80.121,55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69.857,86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87,2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103.822,09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razdoblju od 1.1.2025.-31.12.2025. prihodi poslovanja ostvareni su u iznosu od 2.599.390,33 eura.  </w:t>
      </w:r>
    </w:p>
    <w:p>
      <w:r>
        <w:t xml:space="preserve">Najveći dio prihoda (1.910.820,00 eur) se odnosi na tekuće pomoći prorač.korisnicima iz proračuna koji im nije nadležan-uplate Ministarstva za plaće zaposlenika, jubilarne nagrade, regres i uskrsnica. Iznos je uvećan u odnosu na prethodnu godinu jer su porasle plaće, a povećao se i broj zaposlenika.  </w:t>
      </w:r>
    </w:p>
    <w:p>
      <w:r>
        <w:t xml:space="preserve">Uplate od Grada (568.923,78 eur)- prihodi iz nadležnog proračuna za financiranje red.djel.- također su uvećane u odnosu na prethodnu godinu jer je Grad povećao svoje mjesečne uplate za materijalna sredstva, povećao se broj pomoćnika u nastavi te je škola imala i dosta radova na zgradi te je Grad financirao i uplatio školi ta sredstva za održavanje škole.  </w:t>
      </w:r>
    </w:p>
    <w:p>
      <w:r>
        <w:t xml:space="preserve">Rashodi poslovanja u periodu od 1.1.2025.-31.12.2025. iznose 2.633.354,56 eura.</w:t>
      </w:r>
    </w:p>
    <w:p>
      <w:r>
        <w:t xml:space="preserve">Najznačajnije povećanje rashoda vidljivo je na rashodima za zaposlene zbog povećanja plaća i zbog većeg broja zaposlenika u odnosu na prethodnu godinu, ali najveći dio povećanja rashoda na plaćama se odnosi na novi način knjiženja, tj. prikazivanja 13 plaća, a prihoda za 12 plaća.  </w:t>
      </w:r>
    </w:p>
    <w:p>
      <w:r>
        <w:t xml:space="preserve">Povećani rashodi evidentirani su na rashodima za nabavu nefinancijske imovine u iznosu 69.857,86 eura. Grad je financirao nabavku novih stolova i stolica te kupnju kosilice za potrebe košnje školskog dvorišta.  </w:t>
      </w:r>
    </w:p>
    <w:p>
      <w:r>
        <w:t xml:space="preserve">U razdoblju od 1.1.2025.-31.12.2025. škola je ostvarila manjak od 103.822,09 eura.</w:t>
      </w:r>
    </w:p>
    <w:p>
      <w:r>
        <w:t xml:space="preserve">Manjak su izazvale navedene situacije:</w:t>
      </w:r>
    </w:p>
    <w:p>
      <w:r>
        <w:t xml:space="preserve">1. Iznos od 146.733,30 eura odnosi se na plaću za 12.mjesec. Knjižen je obračun u prosincu 2025., a prihod se knjiži u siječnju 2026. </w:t>
      </w:r>
    </w:p>
    <w:p>
      <w:r>
        <w:t xml:space="preserve">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2.303.603,99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2.599.390,33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112,8</w:t>
            </w:r>
          </w:p>
        </w:tc>
      </w:tr>
    </w:tbl>
    <w:p>
      <w:pPr>
        <w:spacing w:before="0" w:after="0"/>
      </w:pPr>
    </w:p>
    <w:p>
      <w:r>
        <w:t xml:space="preserve">Uvećane su uplate MZO-a. Povećane su plaće u odnosu na prethodnu godinu te škola ima veći broj zaposlenika u odnosu na prethodnu god. Uvećane su uplate Grada za mjesečno redovno poslovanje škole. škola je imala veći broj građevinskih radova/popravaka koje je Grad refundirao.</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1.828.483,67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1.973.747,21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107,9</w:t>
            </w:r>
          </w:p>
        </w:tc>
      </w:tr>
    </w:tbl>
    <w:p>
      <w:pPr>
        <w:spacing w:before="0" w:after="0"/>
      </w:pPr>
    </w:p>
    <w:p>
      <w:r>
        <w:t xml:space="preserve">Povećane su plaće u odnosu na prethodnu godinu te škola ima veći broj zaposlenika u odnosu na prethodnu god.</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Tekući prijenosi između proračunskih korisnika istog proračuna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35.483,94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62.735,21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176,8</w:t>
            </w:r>
          </w:p>
        </w:tc>
      </w:tr>
    </w:tbl>
    <w:p>
      <w:pPr>
        <w:spacing w:before="0" w:after="0"/>
      </w:pPr>
    </w:p>
    <w:p>
      <w:r>
        <w:t xml:space="preserve">Veći broj pomoćnika u nastavi te povećanje njihove satnice u odnosu na prethodnu godinu.</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403.293,31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568.923,78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141,1</w:t>
            </w:r>
          </w:p>
        </w:tc>
      </w:tr>
    </w:tbl>
    <w:p>
      <w:pPr>
        <w:spacing w:before="0" w:after="0"/>
      </w:pPr>
    </w:p>
    <w:p>
      <w:r>
        <w:t xml:space="preserve">Uvećane su uplate Grada za mjesečno redovno poslovanje škole. Škola je imala veći broj građevinskih radova/popravaka koje je Grad refundirao.</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2.181.619,82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2.633.354,56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120,7</w:t>
            </w:r>
          </w:p>
        </w:tc>
      </w:tr>
    </w:tbl>
    <w:p>
      <w:pPr>
        <w:spacing w:before="0" w:after="0"/>
      </w:pPr>
    </w:p>
    <w:p>
      <w:r>
        <w:t xml:space="preserve">Veći rashodi za plaće zaposlenika zbog većeg broja radnika i zbog porasta plaća. Veći broj popravaka u školi zbog puknuća vodovodnih cijevi.</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150.814,86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9122,4</w:t>
            </w:r>
          </w:p>
        </w:tc>
      </w:tr>
    </w:tbl>
    <w:p>
      <w:pPr>
        <w:spacing w:before="0" w:after="0"/>
      </w:pPr>
    </w:p>
    <w:p>
      <w:r>
        <w:t xml:space="preserve">Iznos kojim će se podmiriti dvanaesta plaća. Iznos izdanih računa za prehranu i boravak.</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18.251,03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21.346,49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117,0</w:t>
            </w:r>
          </w:p>
        </w:tc>
      </w:tr>
    </w:tbl>
    <w:p>
      <w:pPr>
        <w:spacing w:before="0" w:after="0"/>
      </w:pPr>
    </w:p>
    <w:p>
      <w:r>
        <w:t xml:space="preserve">Nabavka novih stolova i stolica-financirao Grad.</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18.382,11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5.758,73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31,3</w:t>
            </w:r>
          </w:p>
        </w:tc>
      </w:tr>
    </w:tbl>
    <w:p>
      <w:pPr>
        <w:spacing w:before="0" w:after="0"/>
      </w:pPr>
    </w:p>
    <w:p>
      <w:r>
        <w:t xml:space="preserve">Nabavka kuhinjske opreme i kosilice za košnju školskog dvorišta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umjetnička djela i ostale izložbene vrijednosti (šifre 4241 do 4244)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43.488,41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42.037,89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96,7</w:t>
            </w:r>
          </w:p>
        </w:tc>
      </w:tr>
    </w:tbl>
    <w:p>
      <w:pPr>
        <w:spacing w:before="0" w:after="0"/>
      </w:pPr>
    </w:p>
    <w:p>
      <w:r>
        <w:t xml:space="preserve">Udžbenici.</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na računu kod tuzemnih poslovnih banaka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67.402,87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149.852,18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222,3</w:t>
            </w:r>
          </w:p>
        </w:tc>
      </w:tr>
    </w:tbl>
    <w:p>
      <w:pPr>
        <w:spacing w:before="0" w:after="0"/>
      </w:pPr>
    </w:p>
    <w:p>
      <w:r>
        <w:t xml:space="preserve">Povećanje je nastalo zbog naplate dugovanja roditelja za prehranu i boravak učenika te je Grad redovito isplaćivao sredstva za plaćanje troškova škole.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11.425,30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15.483,13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135,5</w:t>
            </w:r>
          </w:p>
        </w:tc>
      </w:tr>
    </w:tbl>
    <w:p>
      <w:pPr>
        <w:spacing w:before="0" w:after="0"/>
      </w:pPr>
    </w:p>
    <w:p>
      <w:r>
        <w:t xml:space="preserve">Potraživanja za bolovanje HZZO-a.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146.733,30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Potraživanje za plaću za prosinac 2025.</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upravne i administrativne pristojbe, pristojbe po posebnim propisima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1.588,23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3.372,26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212,3</w:t>
            </w:r>
          </w:p>
        </w:tc>
      </w:tr>
    </w:tbl>
    <w:p>
      <w:pPr>
        <w:spacing w:before="0" w:after="0"/>
      </w:pPr>
    </w:p>
    <w:p>
      <w:r>
        <w:t xml:space="preserve">Potraživanja za izdane račune za prehranu i boravak učenika škole.</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od prodaje proizvoda i robe te pruženih usluga i za povrat po protestiranim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709,30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1091,2</w:t>
            </w:r>
          </w:p>
        </w:tc>
      </w:tr>
    </w:tbl>
    <w:p>
      <w:pPr>
        <w:spacing w:before="0" w:after="0"/>
      </w:pPr>
    </w:p>
    <w:p>
      <w:r>
        <w:t xml:space="preserve">Nenaplaćeni izdani računi za najam dvorane.</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Povećanje vrijednosti imovine- prema uputi Gradskog ureda-lap top u vrijednosti 900,00 eura.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kratkotrajna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Povećanje vrijednosti imovine- prema uputi Gradskog ureda-nabavljena oprema za školsku kuhinju u iznosu 151,76 eura.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34.720,90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Dospjele obveze u iznosu 17.505,14 eura se odnose na račune dobavljača Bluemont koji nam je radio na popravku vodovodnih cijevi. Škola je u više navrata morala vršiti popravak vodovodnih cijevi zbog dotrajalosti starih cijevi. Gradski ured je tokom 2025.godine poslao odobrenje za financiranjem hitnih intervencija, ali sredstva nisu bila uplaćena tokom 2025.godine te je to razlog zašto računi nisu podmireni.</w:t>
      </w:r>
    </w:p>
    <w:p>
      <w:r>
        <w:t xml:space="preserve">Iznos od 1.732,63 eura se odnose na povrat u proračun.</w:t>
      </w:r>
    </w:p>
    <w:p>
      <w:r>
        <w:t xml:space="preserve">Iznos od 15.483,13 eura se odnosi na povrat bolovanja HZZO.</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 (šifre M001 do M004)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17.215,76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HZZO refundacija bolovanja-15.483,13 eura i Povrat u proračun u iznosu 1.732,63 eura</w:t>
      </w:r>
    </w:p>
    <w:p/>
    <w:p>
      <w:pPr>
        <w:jc w:val="center"/>
        <w:pStyle w:val="Normal"/>
        <w:spacing w:line="240" w:lineRule="auto"/>
        <w:keepNext/>
      </w:pPr>
      <w:r>
        <w:rPr>
          <w:sz w:val="28"/>
          <w:rFonts w:ascii="Times New Roman" w:hAnsi="Times New Roman"/>
        </w:rPr>
        <w:t xml:space="preserve">Bilješka 20.</w:t>
      </w:r>
    </w:p>
    <w:p>
      <w:pPr>
        <w:jc w:val="both"/>
        <w:pStyle w:val="Normal"/>
        <w:spacing w:line="240" w:lineRule="auto"/>
      </w:pPr>
      <w:r>
        <w:rPr>
          <w:b/>
          <w:sz w:val="24"/>
          <w:rFonts w:ascii="Times New Roman" w:hAnsi="Times New Roman"/>
        </w:rPr>
        <w:t xml:space="preserve">EU izvještaj</w:t>
      </w:r>
    </w:p>
    <w:p>
      <w:r>
        <w:t xml:space="preserve">Sredstva koja su uplaćena na konto 639 u iznosu 62.735,21 eura odnose se na: </w:t>
      </w:r>
    </w:p>
    <w:p>
      <w:pPr>
        <w:pStyle w:val="ListParagraph"/>
        <w:numPr>
          <w:ilvl w:val="0"/>
          <w:numId w:val="2"/>
        </w:numPr>
      </w:pPr>
      <w:r>
        <w:t xml:space="preserve">konto 6393 u iznosu 62.735,21 eura odnosi se na: uplatu za Školsku shemu u iznosu 4.426,72 eura i uplatu za plaće Pomoćnika u nastavi Faza VII i iznosu 58.308,49 eura</w:t>
      </w:r>
    </w:p>
    <w:p/>
  </w:body>
</w:document>
</file>

<file path=word/numbering.xml><?xml version="1.0" encoding="utf-8"?>
<w:numbering xmlns:w="http://schemas.openxmlformats.org/wordprocessingml/2006/main">
  <w:abstractNum w:abstractNumId="1">
    <w:multiLevelType w:val="hybridMultilevel"/>
    <w:name w:val="decima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2">
    <w:abstractNumId w:val="1"/>
    <w:lvlOverride w:ilvl="0">
      <w:startOverride w:val="1"/>
    </w:lvlOverride>
  </w:num>
</w:numbering>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4bda6010f24f4f2f" /><Relationship Type="http://schemas.openxmlformats.org/officeDocument/2006/relationships/numbering" Target="/word/numbering.xml" Id="R5024d5c83fc44009" /></Relationships>
</file>